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41" w:rsidRPr="00054841" w:rsidRDefault="00054841" w:rsidP="0005484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FF"/>
          <w:sz w:val="28"/>
          <w:lang w:eastAsia="es-CO"/>
        </w:rPr>
      </w:pPr>
      <w:r w:rsidRPr="00054841">
        <w:rPr>
          <w:rFonts w:ascii="Segoe UI" w:eastAsia="Times New Roman" w:hAnsi="Segoe UI" w:cs="Segoe UI"/>
          <w:b/>
          <w:bCs/>
          <w:color w:val="0000FF"/>
          <w:sz w:val="28"/>
          <w:lang w:eastAsia="es-CO"/>
        </w:rPr>
        <w:t>OFICIO N° 051315</w:t>
      </w:r>
    </w:p>
    <w:p w:rsidR="00054841" w:rsidRPr="00054841" w:rsidRDefault="00054841" w:rsidP="0005484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FF"/>
          <w:sz w:val="28"/>
          <w:lang w:eastAsia="es-CO"/>
        </w:rPr>
      </w:pPr>
      <w:r w:rsidRPr="00054841">
        <w:rPr>
          <w:rFonts w:ascii="Segoe UI" w:eastAsia="Times New Roman" w:hAnsi="Segoe UI" w:cs="Segoe UI"/>
          <w:b/>
          <w:bCs/>
          <w:color w:val="0000FF"/>
          <w:sz w:val="28"/>
          <w:lang w:eastAsia="es-CO"/>
        </w:rPr>
        <w:t>16-08-2013</w:t>
      </w:r>
    </w:p>
    <w:p w:rsidR="00054841" w:rsidRPr="00054841" w:rsidRDefault="00054841" w:rsidP="0005484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FF"/>
          <w:sz w:val="28"/>
          <w:lang w:eastAsia="es-CO"/>
        </w:rPr>
      </w:pPr>
      <w:r w:rsidRPr="00054841">
        <w:rPr>
          <w:rFonts w:ascii="Segoe UI" w:eastAsia="Times New Roman" w:hAnsi="Segoe UI" w:cs="Segoe UI"/>
          <w:b/>
          <w:bCs/>
          <w:color w:val="0000FF"/>
          <w:sz w:val="28"/>
          <w:lang w:eastAsia="es-CO"/>
        </w:rPr>
        <w:t>DIAN</w:t>
      </w:r>
    </w:p>
    <w:p w:rsidR="00054841" w:rsidRPr="00054841" w:rsidRDefault="00054841" w:rsidP="0005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054841" w:rsidRPr="00054841" w:rsidRDefault="00054841" w:rsidP="00054841">
      <w:pPr>
        <w:spacing w:after="0" w:line="240" w:lineRule="auto"/>
        <w:jc w:val="both"/>
        <w:rPr>
          <w:rFonts w:ascii="Segoe UI" w:eastAsia="Times New Roman" w:hAnsi="Segoe UI" w:cs="Segoe UI"/>
          <w:b/>
          <w:color w:val="0000FF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bCs/>
          <w:sz w:val="24"/>
          <w:szCs w:val="24"/>
          <w:lang w:eastAsia="es-CO"/>
        </w:rPr>
        <w:t>100202208 - 1222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bCs/>
          <w:sz w:val="24"/>
          <w:szCs w:val="24"/>
          <w:lang w:eastAsia="es-CO"/>
        </w:rPr>
        <w:t>Bogotá D.C.</w:t>
      </w:r>
    </w:p>
    <w:p w:rsidR="00054841" w:rsidRPr="00054841" w:rsidRDefault="00054841" w:rsidP="0005484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Ref.: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Solicitud radicado número 1183 del 12/08/2013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Señor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b/>
          <w:bCs/>
          <w:sz w:val="24"/>
          <w:szCs w:val="24"/>
          <w:lang w:eastAsia="es-CO"/>
        </w:rPr>
        <w:t>RUBÉN DARÍO CASTRILLÓN SÁNCHEZ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Carrera 24 N° 20 - 48 Apto. 3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Armenia -Quindío-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hyperlink r:id="rId5" w:history="1">
        <w:r w:rsidRPr="00054841">
          <w:rPr>
            <w:rFonts w:ascii="Segoe UI" w:eastAsia="Times New Roman" w:hAnsi="Segoe UI" w:cs="Segoe UI"/>
            <w:color w:val="0000FF"/>
            <w:sz w:val="24"/>
            <w:szCs w:val="24"/>
            <w:lang w:eastAsia="es-CO"/>
          </w:rPr>
          <w:t>rubdacas@gmail.com</w:t>
        </w:r>
      </w:hyperlink>
    </w:p>
    <w:p w:rsidR="00054841" w:rsidRPr="00054841" w:rsidRDefault="00054841" w:rsidP="0005484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Cordial saludo Señor Castrillón.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En relación con los beneficios consagrados en la Ley 1429 de 2010 consulta -aquí en resumen- si procederían en cabeza de una nueva sociedad que crearán con aportes en especie relativos a los activos patrimoniales de una sociedad preexistente y que perdió </w:t>
      </w:r>
      <w:r w:rsidRPr="00054841">
        <w:rPr>
          <w:rFonts w:ascii="Segoe UI" w:eastAsia="Times New Roman" w:hAnsi="Segoe UI" w:cs="Segoe UI"/>
          <w:bCs/>
          <w:sz w:val="24"/>
          <w:szCs w:val="24"/>
          <w:lang w:eastAsia="es-CO"/>
        </w:rPr>
        <w:t xml:space="preserve">la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posibilidad de dichos beneficios por no cumplir, en su oportunidad legal, con el requisito de renovación de la matrícula mercantil, razón por la cual se disuelve y liquidarían con el objeto de crear la nueva sociedad para la que se pretenden los beneficios tributarios referidos.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Indica, que analizada la Ley en su artículo 48 y el Decreto </w:t>
      </w:r>
      <w:r w:rsidRPr="00054841">
        <w:rPr>
          <w:rFonts w:ascii="Segoe UI" w:eastAsia="Times New Roman" w:hAnsi="Segoe UI" w:cs="Segoe UI"/>
          <w:bCs/>
          <w:sz w:val="24"/>
          <w:szCs w:val="24"/>
          <w:lang w:eastAsia="es-CO"/>
        </w:rPr>
        <w:t xml:space="preserve">545 de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2011, la nueva empresa, a su entender, no podría acceder a los beneficios de los artículos 4, 5 y 7 de la Ley 1429 de 2010, en cuanto el activo patrimonial objeto del aporte en especie y que corresponde a un intangible objeto de un registro sanitario, es activo de la sociedad a liquidar, que se transfiere a la nueva que se crea.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Concluye solicitando, se le indique qué trámite debe seguir para que la nueva sociedad utilice el registro sanitario de la que es titular la liquidada, con el objeto de acceder a los beneficios tributarios.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b/>
          <w:sz w:val="24"/>
          <w:szCs w:val="24"/>
          <w:lang w:eastAsia="es-CO"/>
        </w:rPr>
        <w:t>Respuesta.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Sea primero indicarle, que al tenor del artículo 19 del Decreto 4048 de 2008, lo relacionado con los registros de derechos sobre intangibles y su utilización son temas que escapan a la órbita de competencia de este despacho.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Ahora bien, no obstante que la información por Ud. suministrada es insuficiente en relación con la condición de la sociedad a liquidar en su carácter de empresa nueva o preexistente en el contexto de la Ley y específicamente del artículo 1° del Decreto 4910 de 2011, comedidamente ponemos en su conocimiento que, según lo establece la normatividad existente, las Pequeñas Empresas constituidas con posterioridad a la entrada en vigencia de la Ley 1429 de 2010, en las cuales el objeto social, la actividad, la nómina, el o los establecimientos de comercio, el domicilio, los intangibles o los activos que conformen su unidad de explotación económica sean los mismos de una empresa que haya sido disuelta, liquidada, escindida o inactiva con posterioridad a la entrada en vigencia de esa misma Ley, en ningún caso podrán acceder al beneficio de progresividad en el pago del impuesto sobre la renta y complementarios contemplado en el artículo 4° de la citada Ley.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En efecto, el artículo 5° del Decreto 4910 de 2011 claramente prescribe:</w:t>
      </w:r>
    </w:p>
    <w:p w:rsidR="00054841" w:rsidRPr="00054841" w:rsidRDefault="00054841" w:rsidP="00054841">
      <w:pPr>
        <w:widowControl w:val="0"/>
        <w:spacing w:after="0" w:line="240" w:lineRule="auto"/>
        <w:ind w:left="284"/>
        <w:jc w:val="both"/>
        <w:rPr>
          <w:rFonts w:ascii="Segoe UI" w:eastAsia="Times New Roman" w:hAnsi="Segoe UI" w:cs="Segoe UI"/>
          <w:iCs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ind w:left="284"/>
        <w:jc w:val="both"/>
        <w:rPr>
          <w:rFonts w:ascii="Segoe UI" w:eastAsia="Times New Roman" w:hAnsi="Segoe UI" w:cs="Segoe UI"/>
          <w:iCs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b/>
          <w:iCs/>
          <w:sz w:val="24"/>
          <w:szCs w:val="24"/>
          <w:lang w:eastAsia="es-CO"/>
        </w:rPr>
        <w:t xml:space="preserve">"ARTÍCULO 5° PROHIBICIÓN PARA ACCEDER AL BENEFICIO DE PROGRESIVIDAD EN EL PAGO DEL IMPUESTO SOBRE LA RENTA </w:t>
      </w:r>
      <w:r w:rsidRPr="00054841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Y </w:t>
      </w:r>
      <w:r w:rsidRPr="00054841">
        <w:rPr>
          <w:rFonts w:ascii="Segoe UI" w:eastAsia="Times New Roman" w:hAnsi="Segoe UI" w:cs="Segoe UI"/>
          <w:b/>
          <w:iCs/>
          <w:sz w:val="24"/>
          <w:szCs w:val="24"/>
          <w:lang w:eastAsia="es-CO"/>
        </w:rPr>
        <w:t>COMPLEMENTARIOS.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 Conforme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con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lo dispuesto en el artículo 48 de la Ley 1429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de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2010 y sin perjuicio de lo previsto en el artículo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6°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del Decreto 00545 del 25 de febrero de 2011, las Pequeñas Empresas constituidas con posterioridad a la entrada en vigencia de la Ley 1429 de 2010, en las cuales el objeto social, la actividad, la nómina, el o los establecimientos de comercio, el domicilio, los intangibles o los activos que conformen su unidad de explotación económica sean los mismos de una empresa que haya sido disuelta, liquidada, escindida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o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inactiva con posterioridad a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la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entrada en vigencia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de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>esa misma Ley, en ningún caso podrán acceder al beneficio de progresividad en el pago del impuesto sobre la renta y complementarios contemplado en el artículo 4° de la citada Ley.</w:t>
      </w:r>
    </w:p>
    <w:p w:rsidR="00054841" w:rsidRPr="00054841" w:rsidRDefault="00054841" w:rsidP="00054841">
      <w:pPr>
        <w:widowControl w:val="0"/>
        <w:spacing w:after="0" w:line="240" w:lineRule="auto"/>
        <w:ind w:left="284"/>
        <w:jc w:val="both"/>
        <w:rPr>
          <w:rFonts w:ascii="Segoe UI" w:eastAsia="Times New Roman" w:hAnsi="Segoe UI" w:cs="Segoe UI"/>
          <w:iCs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ind w:left="284"/>
        <w:jc w:val="both"/>
        <w:rPr>
          <w:rFonts w:ascii="Segoe UI" w:eastAsia="Times New Roman" w:hAnsi="Segoe UI" w:cs="Segoe UI"/>
          <w:iCs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Las pequeñas empresas que se hayan acogido al beneficio y adquieran la calidad de inactivas serán reportadas por las Cámaras de Comercio ante la Dirección de Impuestos y Aduanas Nacionales y ante las entidades destinatarias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de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los aportes parafiscales, para que en ejercicio de sus respectivas competencias funcionales adelanten las actuaciones encaminadas a la restitución de los beneficios obtenidos violando la prohibición a que se refiere el artículo 48 ibídem, en concordancia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con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lo dispuesto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en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>el presente artículo.</w:t>
      </w:r>
    </w:p>
    <w:p w:rsidR="00054841" w:rsidRPr="00054841" w:rsidRDefault="00054841" w:rsidP="00054841">
      <w:pPr>
        <w:widowControl w:val="0"/>
        <w:spacing w:after="0" w:line="240" w:lineRule="auto"/>
        <w:ind w:left="284"/>
        <w:jc w:val="both"/>
        <w:rPr>
          <w:rFonts w:ascii="Segoe UI" w:eastAsia="Times New Roman" w:hAnsi="Segoe UI" w:cs="Segoe UI"/>
          <w:iCs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ind w:left="284"/>
        <w:jc w:val="both"/>
        <w:rPr>
          <w:rFonts w:ascii="Segoe UI" w:eastAsia="Times New Roman" w:hAnsi="Segoe UI" w:cs="Segoe UI"/>
          <w:iCs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Igualmente para efectos de lo previsto en este artículo, y sin perjuicio de las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lastRenderedPageBreak/>
        <w:t xml:space="preserve">amplias facultades de fiscalización e investigación atribuidas a la Administración Tributaria por el </w:t>
      </w:r>
      <w:hyperlink r:id="rId6" w:tooltip="Estatuto Tributario CETA" w:history="1">
        <w:r w:rsidRPr="00054841">
          <w:rPr>
            <w:rFonts w:ascii="Segoe UI" w:eastAsia="Times New Roman" w:hAnsi="Segoe UI" w:cs="Segoe UI"/>
            <w:iCs/>
            <w:color w:val="0089E1"/>
            <w:sz w:val="24"/>
            <w:szCs w:val="24"/>
            <w:lang w:eastAsia="es-CO"/>
          </w:rPr>
          <w:t>artículo 684</w:t>
        </w:r>
      </w:hyperlink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 del Estatuto Tributario, la Unidad Administrativa Especial de Gestión Pensional y Contribuciones Parafiscales de la Protección Social (UGPP) hará especial seguimiento con el fin de establecer y comunicar a la DIAN la inobservancia de esta prohibición.</w:t>
      </w:r>
    </w:p>
    <w:p w:rsidR="00054841" w:rsidRPr="00054841" w:rsidRDefault="00054841" w:rsidP="00054841">
      <w:pPr>
        <w:widowControl w:val="0"/>
        <w:spacing w:after="0" w:line="240" w:lineRule="auto"/>
        <w:ind w:left="284"/>
        <w:jc w:val="both"/>
        <w:rPr>
          <w:rFonts w:ascii="Segoe UI" w:eastAsia="Times New Roman" w:hAnsi="Segoe UI" w:cs="Segoe UI"/>
          <w:iCs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ind w:left="284"/>
        <w:jc w:val="both"/>
        <w:rPr>
          <w:rFonts w:ascii="Segoe UI" w:eastAsia="Times New Roman" w:hAnsi="Segoe UI" w:cs="Segoe UI"/>
          <w:iCs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 xml:space="preserve">En lo concerniente al suministro de información, se aplicará lo dispuesto en el artículo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15 del </w:t>
      </w:r>
      <w:r w:rsidRPr="00054841">
        <w:rPr>
          <w:rFonts w:ascii="Segoe UI" w:eastAsia="Times New Roman" w:hAnsi="Segoe UI" w:cs="Segoe UI"/>
          <w:iCs/>
          <w:sz w:val="24"/>
          <w:szCs w:val="24"/>
          <w:lang w:eastAsia="es-CO"/>
        </w:rPr>
        <w:t>presente decreto."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iCs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 xml:space="preserve">Por último y como complemento, le remitimos copia de los Conceptos 48992 y </w:t>
      </w:r>
      <w:r w:rsidRPr="00054841">
        <w:rPr>
          <w:rFonts w:ascii="Segoe UI" w:eastAsia="Times New Roman" w:hAnsi="Segoe UI" w:cs="Segoe UI"/>
          <w:bCs/>
          <w:sz w:val="24"/>
          <w:szCs w:val="24"/>
          <w:lang w:eastAsia="es-CO"/>
        </w:rPr>
        <w:t xml:space="preserve">53946 </w:t>
      </w: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de 2012.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sz w:val="24"/>
          <w:szCs w:val="24"/>
          <w:lang w:eastAsia="es-CO"/>
        </w:rPr>
        <w:t>Atentamente,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b/>
          <w:bCs/>
          <w:sz w:val="24"/>
          <w:szCs w:val="24"/>
          <w:lang w:eastAsia="es-CO"/>
        </w:rPr>
        <w:t>ISABEL CRISTINA GARCÉS SÁNCHEZ</w:t>
      </w:r>
    </w:p>
    <w:p w:rsidR="00054841" w:rsidRPr="00054841" w:rsidRDefault="00054841" w:rsidP="00054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4841">
        <w:rPr>
          <w:rFonts w:ascii="Segoe UI" w:eastAsia="Times New Roman" w:hAnsi="Segoe UI" w:cs="Segoe UI"/>
          <w:bCs/>
          <w:sz w:val="24"/>
          <w:szCs w:val="24"/>
          <w:lang w:eastAsia="es-CO"/>
        </w:rPr>
        <w:t>Directora de Gestión Jurídica</w:t>
      </w:r>
    </w:p>
    <w:p w:rsidR="007F50DD" w:rsidRDefault="007F50DD">
      <w:bookmarkStart w:id="0" w:name="_GoBack"/>
      <w:bookmarkEnd w:id="0"/>
    </w:p>
    <w:sectPr w:rsidR="007F5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41"/>
    <w:rsid w:val="00054841"/>
    <w:rsid w:val="007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851" TargetMode="External"/><Relationship Id="rId5" Type="http://schemas.openxmlformats.org/officeDocument/2006/relationships/hyperlink" Target="mailto:rubdac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2013-10-16T01:54:00Z</dcterms:created>
  <dcterms:modified xsi:type="dcterms:W3CDTF">2013-10-16T01:56:00Z</dcterms:modified>
</cp:coreProperties>
</file>